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AA" w:rsidRPr="00AE6C93" w:rsidRDefault="009034AA" w:rsidP="009034AA">
      <w:pPr>
        <w:spacing w:after="120"/>
        <w:ind w:right="1"/>
        <w:jc w:val="center"/>
        <w:rPr>
          <w:b/>
        </w:rPr>
      </w:pPr>
      <w:r w:rsidRPr="00AE6C93">
        <w:rPr>
          <w:b/>
        </w:rPr>
        <w:t>TISKOVÁ ZPRÁVA</w:t>
      </w:r>
    </w:p>
    <w:p w:rsidR="009034AA" w:rsidRPr="005A4F72" w:rsidRDefault="009034AA" w:rsidP="009034AA">
      <w:pPr>
        <w:spacing w:after="120"/>
        <w:ind w:right="1"/>
        <w:jc w:val="center"/>
        <w:rPr>
          <w:b/>
        </w:rPr>
      </w:pPr>
      <w:r w:rsidRPr="005A4F72">
        <w:rPr>
          <w:b/>
        </w:rPr>
        <w:t xml:space="preserve">Sdružení českých spotřebitelů (SČS) </w:t>
      </w:r>
      <w:r>
        <w:rPr>
          <w:b/>
        </w:rPr>
        <w:t>a partne</w:t>
      </w:r>
      <w:r w:rsidR="004C14B3">
        <w:rPr>
          <w:b/>
        </w:rPr>
        <w:t>rů</w:t>
      </w:r>
    </w:p>
    <w:p w:rsidR="00E578EF" w:rsidRDefault="00E578EF" w:rsidP="005B0C38">
      <w:pPr>
        <w:pStyle w:val="Normlnweb"/>
        <w:shd w:val="clear" w:color="auto" w:fill="FFFFFF"/>
        <w:spacing w:before="96" w:after="0" w:afterAutospacing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Spotřebitel vyžaduje informaci o životnosti výrobku – </w:t>
      </w:r>
    </w:p>
    <w:p w:rsidR="00E578EF" w:rsidRPr="00E76E08" w:rsidRDefault="00E578EF" w:rsidP="005B0C38">
      <w:pPr>
        <w:pStyle w:val="Normlnweb"/>
        <w:shd w:val="clear" w:color="auto" w:fill="FFFFFF"/>
        <w:spacing w:before="0" w:beforeAutospacing="0" w:after="12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a někteří výrobci ji poskytují</w:t>
      </w:r>
      <w:r w:rsidR="005B0C38">
        <w:rPr>
          <w:b/>
          <w:color w:val="000000"/>
          <w:sz w:val="32"/>
        </w:rPr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8"/>
        <w:gridCol w:w="6852"/>
      </w:tblGrid>
      <w:tr w:rsidR="00E578EF" w:rsidTr="005B0C38">
        <w:tc>
          <w:tcPr>
            <w:tcW w:w="2778" w:type="dxa"/>
          </w:tcPr>
          <w:p w:rsidR="00E578EF" w:rsidRDefault="00E578EF" w:rsidP="00562B94">
            <w:pPr>
              <w:pStyle w:val="Nadpis1"/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DCD615" wp14:editId="4B0DE2A2">
                  <wp:extent cx="1626919" cy="1626919"/>
                  <wp:effectExtent l="0" t="0" r="0" b="0"/>
                  <wp:docPr id="2" name="Obrázek 2" descr="C:\Users\dupal_000\AppData\Local\Microsoft\Windows\INetCache\Content.Word\logo_reg_rgb_ochranna_z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pal_000\AppData\Local\Microsoft\Windows\INetCache\Content.Word\logo_reg_rgb_ochranna_zo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6" cy="164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vAlign w:val="center"/>
          </w:tcPr>
          <w:p w:rsidR="00E578EF" w:rsidRPr="00222608" w:rsidRDefault="00E578EF" w:rsidP="00562B94">
            <w:pPr>
              <w:spacing w:after="120"/>
              <w:jc w:val="both"/>
              <w:rPr>
                <w:b/>
                <w:sz w:val="28"/>
              </w:rPr>
            </w:pPr>
            <w:r w:rsidRPr="00222608">
              <w:rPr>
                <w:b/>
                <w:sz w:val="28"/>
              </w:rPr>
              <w:t>Z</w:t>
            </w:r>
            <w:r>
              <w:rPr>
                <w:b/>
                <w:sz w:val="28"/>
              </w:rPr>
              <w:t xml:space="preserve">načka kvality ŽIVOTNOST PLUS je </w:t>
            </w:r>
            <w:r w:rsidRPr="0061453D">
              <w:rPr>
                <w:b/>
                <w:sz w:val="28"/>
              </w:rPr>
              <w:t xml:space="preserve">přiznávána </w:t>
            </w:r>
            <w:r w:rsidRPr="00222608">
              <w:rPr>
                <w:b/>
                <w:sz w:val="28"/>
              </w:rPr>
              <w:t>výrobkům, pro které výrobce deklaruje životnost, která je přiměřená reálným očekáváním sp</w:t>
            </w:r>
            <w:r>
              <w:rPr>
                <w:b/>
                <w:sz w:val="28"/>
              </w:rPr>
              <w:t>o</w:t>
            </w:r>
            <w:r w:rsidRPr="00222608">
              <w:rPr>
                <w:b/>
                <w:sz w:val="28"/>
              </w:rPr>
              <w:t>třebitele.</w:t>
            </w:r>
          </w:p>
          <w:p w:rsidR="00E578EF" w:rsidRPr="00222608" w:rsidRDefault="00E578EF" w:rsidP="00562B94">
            <w:pPr>
              <w:spacing w:after="120"/>
              <w:jc w:val="both"/>
              <w:rPr>
                <w:b/>
                <w:sz w:val="28"/>
              </w:rPr>
            </w:pPr>
            <w:r w:rsidRPr="00222608">
              <w:rPr>
                <w:b/>
                <w:sz w:val="28"/>
              </w:rPr>
              <w:t xml:space="preserve">Vyžadujme </w:t>
            </w:r>
            <w:r>
              <w:rPr>
                <w:b/>
                <w:sz w:val="28"/>
              </w:rPr>
              <w:t>- my</w:t>
            </w:r>
            <w:r w:rsidRPr="00222608">
              <w:rPr>
                <w:b/>
                <w:sz w:val="28"/>
              </w:rPr>
              <w:t xml:space="preserve"> spotřebitelé </w:t>
            </w:r>
            <w:r>
              <w:rPr>
                <w:b/>
                <w:sz w:val="28"/>
              </w:rPr>
              <w:t xml:space="preserve">- </w:t>
            </w:r>
            <w:r w:rsidRPr="00222608">
              <w:rPr>
                <w:b/>
                <w:sz w:val="28"/>
              </w:rPr>
              <w:t>takovou informaci!</w:t>
            </w:r>
          </w:p>
          <w:p w:rsidR="00E578EF" w:rsidRPr="0061453D" w:rsidRDefault="00E578EF" w:rsidP="00562B94">
            <w:pPr>
              <w:spacing w:after="120"/>
              <w:jc w:val="both"/>
              <w:rPr>
                <w:b/>
                <w:sz w:val="28"/>
              </w:rPr>
            </w:pPr>
            <w:r w:rsidRPr="00222608">
              <w:rPr>
                <w:b/>
                <w:sz w:val="28"/>
              </w:rPr>
              <w:t xml:space="preserve">Vyžadujme </w:t>
            </w:r>
            <w:r>
              <w:rPr>
                <w:b/>
                <w:sz w:val="28"/>
              </w:rPr>
              <w:t>- my</w:t>
            </w:r>
            <w:r w:rsidRPr="00222608">
              <w:rPr>
                <w:b/>
                <w:sz w:val="28"/>
              </w:rPr>
              <w:t xml:space="preserve"> spotřebitelé </w:t>
            </w:r>
            <w:r>
              <w:rPr>
                <w:b/>
                <w:sz w:val="28"/>
              </w:rPr>
              <w:t xml:space="preserve">- </w:t>
            </w:r>
            <w:r w:rsidRPr="00222608">
              <w:rPr>
                <w:b/>
                <w:sz w:val="28"/>
              </w:rPr>
              <w:t xml:space="preserve">od svého výrobce </w:t>
            </w:r>
            <w:r>
              <w:rPr>
                <w:b/>
                <w:sz w:val="28"/>
              </w:rPr>
              <w:t>pro jeho výrobky</w:t>
            </w:r>
            <w:r w:rsidRPr="00222608">
              <w:rPr>
                <w:b/>
                <w:sz w:val="28"/>
              </w:rPr>
              <w:t xml:space="preserve"> značk</w:t>
            </w:r>
            <w:r>
              <w:rPr>
                <w:b/>
                <w:sz w:val="28"/>
              </w:rPr>
              <w:t>u</w:t>
            </w:r>
            <w:r w:rsidRPr="00222608">
              <w:rPr>
                <w:b/>
                <w:sz w:val="28"/>
              </w:rPr>
              <w:t xml:space="preserve"> kvality ŽIVOTNOST PLUS!</w:t>
            </w:r>
          </w:p>
        </w:tc>
      </w:tr>
    </w:tbl>
    <w:p w:rsidR="00523C62" w:rsidRDefault="00523C62" w:rsidP="00523C62">
      <w:pPr>
        <w:spacing w:after="120"/>
        <w:rPr>
          <w:highlight w:val="yellow"/>
        </w:rPr>
      </w:pPr>
    </w:p>
    <w:p w:rsidR="00E578EF" w:rsidRDefault="00523C62" w:rsidP="005B0C38">
      <w:pPr>
        <w:spacing w:after="120"/>
        <w:jc w:val="both"/>
      </w:pPr>
      <w:r w:rsidRPr="00D82D8F">
        <w:t>V Praze – 2016-12-</w:t>
      </w:r>
      <w:r w:rsidR="00D82D8F" w:rsidRPr="00D82D8F">
        <w:t>15</w:t>
      </w:r>
      <w:r w:rsidRPr="00D82D8F">
        <w:t xml:space="preserve">. </w:t>
      </w:r>
      <w:r w:rsidR="00E578EF" w:rsidRPr="00D82D8F">
        <w:t>Na výrobku (rozumí se na jeho obalu, v reklamě apod.) nachází spotřebitel</w:t>
      </w:r>
      <w:r w:rsidR="00E578EF" w:rsidRPr="00892104">
        <w:t xml:space="preserve"> řadu informací, které mu mají napomoci </w:t>
      </w:r>
      <w:r w:rsidR="00E578EF">
        <w:t>v </w:t>
      </w:r>
      <w:r w:rsidR="00E578EF" w:rsidRPr="00892104">
        <w:t>orientaci</w:t>
      </w:r>
      <w:r w:rsidR="00E578EF">
        <w:t xml:space="preserve"> při výběru ke koupi. Mnohé jsou povinné, ale jinak je na výrobci, jakými dalšími sděleními chce kupujícího přesvědčit, že právě jeho výrobek stojí za zakoupení a spotřebování.</w:t>
      </w:r>
    </w:p>
    <w:p w:rsidR="00E578EF" w:rsidRDefault="00523C62" w:rsidP="00E578EF">
      <w:pPr>
        <w:spacing w:after="120"/>
        <w:jc w:val="both"/>
      </w:pPr>
      <w:r>
        <w:t>„</w:t>
      </w:r>
      <w:r w:rsidR="00E578EF" w:rsidRPr="00523C62">
        <w:rPr>
          <w:i/>
        </w:rPr>
        <w:t xml:space="preserve">Přesto jedna z informací </w:t>
      </w:r>
      <w:r w:rsidRPr="00523C62">
        <w:rPr>
          <w:i/>
        </w:rPr>
        <w:t>obvykle chybí</w:t>
      </w:r>
      <w:r>
        <w:t xml:space="preserve">,“ uvádí </w:t>
      </w:r>
      <w:r w:rsidR="005B0C38">
        <w:t xml:space="preserve">důvod zavedení </w:t>
      </w:r>
      <w:r>
        <w:t>nov</w:t>
      </w:r>
      <w:r w:rsidR="005B0C38">
        <w:t>é</w:t>
      </w:r>
      <w:r>
        <w:t xml:space="preserve"> značk</w:t>
      </w:r>
      <w:r w:rsidR="005B0C38">
        <w:t>y</w:t>
      </w:r>
      <w:r>
        <w:t xml:space="preserve"> kvality Libor Dupal, ředitel Sdružení českých spotřebitelů (SČS) a dodává: „</w:t>
      </w:r>
      <w:r w:rsidR="00E578EF" w:rsidRPr="00523C62">
        <w:rPr>
          <w:i/>
        </w:rPr>
        <w:t>Spolu s výrobky, které spadají do kategorie nepotravinářských produktů, totiž obvykle nedostáváme žádnou „přímou“ informaci o trvanlivosti, životnosti</w:t>
      </w:r>
      <w:r w:rsidR="00E578EF">
        <w:t>.</w:t>
      </w:r>
      <w:r>
        <w:t>“</w:t>
      </w:r>
      <w:r w:rsidR="00E578EF">
        <w:t xml:space="preserve"> </w:t>
      </w:r>
    </w:p>
    <w:p w:rsidR="00523C62" w:rsidRDefault="00523C62" w:rsidP="00523C62">
      <w:pPr>
        <w:spacing w:after="120"/>
        <w:jc w:val="both"/>
      </w:pPr>
      <w:r>
        <w:t xml:space="preserve">SČS </w:t>
      </w:r>
      <w:r w:rsidR="005B0C38">
        <w:t>proto dnešním dnem oznamuje</w:t>
      </w:r>
      <w:r>
        <w:t xml:space="preserve"> přiznáv</w:t>
      </w:r>
      <w:r w:rsidR="005B0C38">
        <w:t>ání</w:t>
      </w:r>
      <w:r>
        <w:t xml:space="preserve"> nov</w:t>
      </w:r>
      <w:r w:rsidR="005B0C38">
        <w:t>é</w:t>
      </w:r>
      <w:r>
        <w:t xml:space="preserve"> značk</w:t>
      </w:r>
      <w:r w:rsidR="005B0C38">
        <w:t>y</w:t>
      </w:r>
      <w:r>
        <w:t xml:space="preserve"> kvality těm výrobkům, pro které výrobce deklaruje životnost </w:t>
      </w:r>
      <w:r w:rsidRPr="0061453D">
        <w:t>v jednotce času anebo v cyklech používání</w:t>
      </w:r>
      <w:r>
        <w:t xml:space="preserve">, která je přiměřená reálným očekáváním spotřebitele. Značka se nazývá </w:t>
      </w:r>
      <w:bookmarkStart w:id="0" w:name="_Toc362870785"/>
      <w:r w:rsidR="00E578EF" w:rsidRPr="00622832">
        <w:t>ŽIVOTNOST PLUS</w:t>
      </w:r>
      <w:r>
        <w:t>. Její vývoj, stanovení podmínek</w:t>
      </w:r>
      <w:r w:rsidR="00790045">
        <w:t>,</w:t>
      </w:r>
      <w:r>
        <w:t xml:space="preserve"> příprava webu atd. zabraly téměř rok a mohlo se to podařit jen díky grantu Ministerstva průmyslu a obchodu a spolupráci s více partnery, např. Hospodářskou komorou ČR.</w:t>
      </w:r>
    </w:p>
    <w:p w:rsidR="00E578EF" w:rsidRPr="00B55B0B" w:rsidRDefault="005B0C38" w:rsidP="00B55B0B">
      <w:pPr>
        <w:spacing w:after="120"/>
        <w:jc w:val="both"/>
        <w:rPr>
          <w:i/>
        </w:rPr>
      </w:pPr>
      <w:r>
        <w:t xml:space="preserve">Libor </w:t>
      </w:r>
      <w:r w:rsidR="00523C62">
        <w:t>Dupal dále vysvětluje: „</w:t>
      </w:r>
      <w:r w:rsidR="00E578EF" w:rsidRPr="00523C62">
        <w:rPr>
          <w:i/>
        </w:rPr>
        <w:t xml:space="preserve">Značka je určena jen pro </w:t>
      </w:r>
      <w:r w:rsidR="00E578EF" w:rsidRPr="00523C62">
        <w:rPr>
          <w:i/>
          <w:u w:val="single"/>
        </w:rPr>
        <w:t>nepotravinové</w:t>
      </w:r>
      <w:r w:rsidR="00E578EF" w:rsidRPr="00523C62">
        <w:rPr>
          <w:i/>
        </w:rPr>
        <w:t xml:space="preserve"> výrobky určené prioritně pro konečného spotřebitele (spotřební zboží). Značka může být udělena za službu, pokud je výstupem výrobek k užívání spotřebitelem (nábytek na zakázku, zubní implantá</w:t>
      </w:r>
      <w:r w:rsidR="00E578EF">
        <w:t>t).</w:t>
      </w:r>
      <w:r w:rsidR="00B55B0B">
        <w:t xml:space="preserve"> </w:t>
      </w:r>
      <w:r w:rsidR="00E578EF" w:rsidRPr="00B55B0B">
        <w:rPr>
          <w:i/>
        </w:rPr>
        <w:t xml:space="preserve">Základní kritéria pro výběr a udělení značky jsou čtyři a </w:t>
      </w:r>
      <w:r w:rsidR="00B55B0B">
        <w:rPr>
          <w:i/>
        </w:rPr>
        <w:t>posuzuje je nezávislá vícečlenná komise.“</w:t>
      </w:r>
    </w:p>
    <w:p w:rsidR="00E578EF" w:rsidRDefault="00B55B0B" w:rsidP="00B55B0B">
      <w:pPr>
        <w:spacing w:after="120"/>
        <w:jc w:val="both"/>
      </w:pPr>
      <w:r>
        <w:t xml:space="preserve">Nejdůležitějším kritériem je </w:t>
      </w:r>
      <w:r w:rsidRPr="00B55B0B">
        <w:rPr>
          <w:b/>
        </w:rPr>
        <w:t>d</w:t>
      </w:r>
      <w:r w:rsidR="00E578EF" w:rsidRPr="00B55B0B">
        <w:rPr>
          <w:b/>
        </w:rPr>
        <w:t>eklarovaná životnost</w:t>
      </w:r>
      <w:r w:rsidR="00E578EF" w:rsidRPr="00DD6EBF">
        <w:t xml:space="preserve">, </w:t>
      </w:r>
      <w:r w:rsidR="00E578EF">
        <w:t xml:space="preserve">a sice </w:t>
      </w:r>
      <w:r w:rsidR="00E578EF" w:rsidRPr="004679EF">
        <w:t>formou přímé deklarace</w:t>
      </w:r>
      <w:r w:rsidR="00E578EF">
        <w:t xml:space="preserve"> </w:t>
      </w:r>
      <w:r w:rsidR="00E578EF" w:rsidRPr="0061453D">
        <w:t>v jednotce času anebo v cyklech používání</w:t>
      </w:r>
      <w:r w:rsidR="00E578EF">
        <w:t xml:space="preserve">, anebo </w:t>
      </w:r>
      <w:r w:rsidR="00E578EF" w:rsidRPr="004679EF">
        <w:t>náhradním vyjádřením</w:t>
      </w:r>
      <w:r w:rsidR="00E578EF">
        <w:t xml:space="preserve"> (např. prodloužená „záruka“ za vady); výchozím limitem pro udání životnosti je 7 let, pro prodlouženou „záruku“ za vady 5 let, ale podle charakteru výrobku může být pro daný sektor odsouhlasena hodnotící komisí jiná doba; pro cykly používání je vždy vycházeno z individuálního posouzení.</w:t>
      </w:r>
      <w:r>
        <w:t xml:space="preserve"> Komise dále hodnotí </w:t>
      </w:r>
      <w:r w:rsidRPr="00B55B0B">
        <w:rPr>
          <w:b/>
        </w:rPr>
        <w:t>s</w:t>
      </w:r>
      <w:r w:rsidR="00E578EF" w:rsidRPr="00B55B0B">
        <w:rPr>
          <w:b/>
        </w:rPr>
        <w:t>rozumitelnost a transparentnost podmíne</w:t>
      </w:r>
      <w:r w:rsidR="00E578EF" w:rsidRPr="00B55B0B">
        <w:t>k</w:t>
      </w:r>
      <w:r w:rsidR="00E578EF">
        <w:t xml:space="preserve"> deklarované životnosti</w:t>
      </w:r>
      <w:r>
        <w:t>, s</w:t>
      </w:r>
      <w:r w:rsidR="00E578EF" w:rsidRPr="00B55B0B">
        <w:t xml:space="preserve">ouvisející </w:t>
      </w:r>
      <w:r w:rsidR="00E578EF" w:rsidRPr="00B55B0B">
        <w:rPr>
          <w:b/>
        </w:rPr>
        <w:t>informace výrobce o výrobku</w:t>
      </w:r>
      <w:r w:rsidR="00E578EF" w:rsidRPr="00DD6EBF">
        <w:t>,</w:t>
      </w:r>
      <w:r w:rsidR="00E578EF">
        <w:t xml:space="preserve"> </w:t>
      </w:r>
      <w:r w:rsidR="00E578EF" w:rsidRPr="00DD3996">
        <w:t xml:space="preserve">např. </w:t>
      </w:r>
      <w:r w:rsidR="00E578EF">
        <w:t>dobrovolné značky kval</w:t>
      </w:r>
      <w:r w:rsidR="00E578EF" w:rsidRPr="00DD3996">
        <w:t>ity</w:t>
      </w:r>
      <w:r>
        <w:t xml:space="preserve"> a v neposlední řadě </w:t>
      </w:r>
      <w:r w:rsidRPr="00B55B0B">
        <w:rPr>
          <w:b/>
        </w:rPr>
        <w:t>p</w:t>
      </w:r>
      <w:r w:rsidR="00E578EF" w:rsidRPr="00B55B0B">
        <w:rPr>
          <w:b/>
        </w:rPr>
        <w:t>ohled a názory spotřebitele</w:t>
      </w:r>
      <w:r w:rsidR="00E578EF" w:rsidRPr="00B55B0B">
        <w:t xml:space="preserve">, </w:t>
      </w:r>
      <w:r w:rsidR="00E578EF" w:rsidRPr="00474FAA">
        <w:t xml:space="preserve">např. </w:t>
      </w:r>
      <w:r w:rsidR="00E578EF">
        <w:t xml:space="preserve">na </w:t>
      </w:r>
      <w:r w:rsidR="00E578EF" w:rsidRPr="00474FAA">
        <w:t>postavení výrobce na trhu</w:t>
      </w:r>
      <w:r w:rsidR="00E578EF">
        <w:t xml:space="preserve"> (dlouhodobost působení, dosažená kredibilita, inovace), d</w:t>
      </w:r>
      <w:r w:rsidR="00E578EF" w:rsidRPr="00DD6EBF">
        <w:t xml:space="preserve">ostupné názory </w:t>
      </w:r>
      <w:r w:rsidR="00E578EF" w:rsidRPr="00DD6EBF">
        <w:lastRenderedPageBreak/>
        <w:t>spotřebitelů na výrobek</w:t>
      </w:r>
      <w:r w:rsidR="00E578EF">
        <w:t xml:space="preserve"> (z</w:t>
      </w:r>
      <w:r w:rsidR="00E578EF" w:rsidRPr="004679EF">
        <w:t xml:space="preserve">ejména ve vztahu </w:t>
      </w:r>
      <w:r w:rsidR="00E578EF">
        <w:t>k životnosti a dalším znakům kvality - srovnávací aplikace, on-line diskuzní platformy, atd.).</w:t>
      </w:r>
    </w:p>
    <w:p w:rsidR="00B55B0B" w:rsidRDefault="00E578EF" w:rsidP="00E578EF">
      <w:pPr>
        <w:pStyle w:val="Odstavecseseznamem"/>
        <w:spacing w:after="120"/>
        <w:ind w:left="0"/>
        <w:jc w:val="both"/>
      </w:pPr>
      <w:r w:rsidRPr="00390BDE">
        <w:t>Výrobky navrhují na ocenění samotní spotřebitelé prostřednictvím webových stránek,</w:t>
      </w:r>
      <w:r w:rsidR="00B55B0B">
        <w:t xml:space="preserve"> ale máme stanoveny i jiné cesty.</w:t>
      </w:r>
    </w:p>
    <w:p w:rsidR="00E578EF" w:rsidRPr="00390BDE" w:rsidRDefault="00E578EF" w:rsidP="00B55B0B">
      <w:pPr>
        <w:spacing w:after="120"/>
        <w:jc w:val="both"/>
      </w:pPr>
      <w:r w:rsidRPr="00390BDE">
        <w:t xml:space="preserve">Informace o tom, že výrobku byla přiznána značka, je uveřejněna na webových stránkách www.zivotnost-plus.cz. O této skutečnosti </w:t>
      </w:r>
      <w:r w:rsidR="00B55B0B">
        <w:t xml:space="preserve">budou vždy v určitých časových intervalech </w:t>
      </w:r>
      <w:r w:rsidRPr="00390BDE">
        <w:t xml:space="preserve">informována média a také, samozřejmě, držitel ocenění za daný výrobek. </w:t>
      </w:r>
      <w:r>
        <w:t>Výrobce</w:t>
      </w:r>
      <w:r w:rsidRPr="00390BDE">
        <w:t xml:space="preserve"> tedy o udělení značky nežádá, ocenění ho nestojí žádné poplatky a o </w:t>
      </w:r>
      <w:r>
        <w:t xml:space="preserve">přiznání značky je </w:t>
      </w:r>
      <w:r w:rsidRPr="00390BDE">
        <w:t xml:space="preserve">pouze </w:t>
      </w:r>
      <w:r>
        <w:t>ex post</w:t>
      </w:r>
      <w:r w:rsidRPr="00390BDE">
        <w:t xml:space="preserve"> informován. Pokud by však držitel ocenění chtěl dále značku komerčně využít – v informacích na výrobku, ve svých propagačních materiálech atp., </w:t>
      </w:r>
      <w:r w:rsidR="00B55B0B">
        <w:t>licence je mu udělována smluvně</w:t>
      </w:r>
      <w:r w:rsidRPr="00390BDE">
        <w:t>.</w:t>
      </w:r>
    </w:p>
    <w:p w:rsidR="005B0C38" w:rsidRDefault="005B0C38" w:rsidP="00B55B0B">
      <w:pPr>
        <w:spacing w:after="120"/>
        <w:jc w:val="both"/>
      </w:pPr>
      <w:r>
        <w:t>SČS na základě hodnocení nezávislé komise udělilo a nyní zv</w:t>
      </w:r>
      <w:r w:rsidR="00BB46B4">
        <w:t>e</w:t>
      </w:r>
      <w:r>
        <w:t>řejňuje, prvních sedm přiznaných značek (příloha).</w:t>
      </w:r>
    </w:p>
    <w:bookmarkEnd w:id="0"/>
    <w:p w:rsidR="005B0C38" w:rsidRDefault="00E578EF" w:rsidP="00E578EF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lang w:val="cs-CZ" w:eastAsia="cs-CZ"/>
        </w:rPr>
      </w:pPr>
      <w:r>
        <w:rPr>
          <w:rFonts w:ascii="Times New Roman" w:hAnsi="Times New Roman" w:cs="Times New Roman"/>
          <w:color w:val="auto"/>
          <w:lang w:val="cs-CZ" w:eastAsia="cs-CZ"/>
        </w:rPr>
        <w:t xml:space="preserve">SČS vnímá zavedení nové značky kvality </w:t>
      </w:r>
      <w:r w:rsidRPr="00622832">
        <w:rPr>
          <w:rFonts w:ascii="Times New Roman" w:hAnsi="Times New Roman"/>
        </w:rPr>
        <w:t>ŽIVOTNOST PLUS</w:t>
      </w:r>
      <w:r>
        <w:rPr>
          <w:rFonts w:ascii="Times New Roman" w:hAnsi="Times New Roman" w:cs="Times New Roman"/>
          <w:color w:val="auto"/>
          <w:lang w:val="cs-CZ" w:eastAsia="cs-CZ"/>
        </w:rPr>
        <w:t xml:space="preserve"> jako nástroj </w:t>
      </w:r>
      <w:proofErr w:type="spellStart"/>
      <w:r>
        <w:rPr>
          <w:rFonts w:ascii="Times New Roman" w:hAnsi="Times New Roman" w:cs="Times New Roman"/>
          <w:color w:val="auto"/>
          <w:lang w:val="cs-CZ" w:eastAsia="cs-CZ"/>
        </w:rPr>
        <w:t>samoregulativní</w:t>
      </w:r>
      <w:proofErr w:type="spellEnd"/>
      <w:r>
        <w:rPr>
          <w:rFonts w:ascii="Times New Roman" w:hAnsi="Times New Roman" w:cs="Times New Roman"/>
          <w:color w:val="auto"/>
          <w:lang w:val="cs-CZ" w:eastAsia="cs-CZ"/>
        </w:rPr>
        <w:t xml:space="preserve">, který vždy upřednostňujeme před regulací. </w:t>
      </w:r>
      <w:r w:rsidR="005B0C38">
        <w:rPr>
          <w:rFonts w:ascii="Times New Roman" w:hAnsi="Times New Roman" w:cs="Times New Roman"/>
          <w:color w:val="auto"/>
          <w:lang w:val="cs-CZ" w:eastAsia="cs-CZ"/>
        </w:rPr>
        <w:t xml:space="preserve">Značka sama není zárukou životnosti, to je věc výrobce. Je </w:t>
      </w:r>
      <w:r w:rsidR="00BB46B4">
        <w:rPr>
          <w:rFonts w:ascii="Times New Roman" w:hAnsi="Times New Roman" w:cs="Times New Roman"/>
          <w:color w:val="auto"/>
          <w:lang w:val="cs-CZ" w:eastAsia="cs-CZ"/>
        </w:rPr>
        <w:t xml:space="preserve">ale </w:t>
      </w:r>
      <w:r w:rsidR="005B0C38">
        <w:rPr>
          <w:rFonts w:ascii="Times New Roman" w:hAnsi="Times New Roman" w:cs="Times New Roman"/>
          <w:color w:val="auto"/>
          <w:lang w:val="cs-CZ" w:eastAsia="cs-CZ"/>
        </w:rPr>
        <w:t>signálem pro spotřebitele, že pro daný výrobek či službu výrobce životnost deklaruje. V rámci hodnocení je snahou komise spolehlivost výrobce na trhu posoudit</w:t>
      </w:r>
      <w:r w:rsidR="00BB46B4">
        <w:rPr>
          <w:rFonts w:ascii="Times New Roman" w:hAnsi="Times New Roman" w:cs="Times New Roman"/>
          <w:color w:val="auto"/>
          <w:lang w:val="cs-CZ" w:eastAsia="cs-CZ"/>
        </w:rPr>
        <w:t>,</w:t>
      </w:r>
      <w:r w:rsidR="005B0C38">
        <w:rPr>
          <w:rFonts w:ascii="Times New Roman" w:hAnsi="Times New Roman" w:cs="Times New Roman"/>
          <w:color w:val="auto"/>
          <w:lang w:val="cs-CZ" w:eastAsia="cs-CZ"/>
        </w:rPr>
        <w:t xml:space="preserve"> i s ohledem na informace od spotřebitelů. Jejich postoje sledujeme i následně po přiznání značky.</w:t>
      </w:r>
    </w:p>
    <w:p w:rsidR="005B0C38" w:rsidRPr="00BB46B4" w:rsidRDefault="00BB46B4" w:rsidP="00BB46B4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lang w:val="cs-CZ" w:eastAsia="cs-CZ"/>
        </w:rPr>
      </w:pPr>
      <w:r w:rsidRPr="00BB46B4">
        <w:rPr>
          <w:rFonts w:ascii="Times New Roman" w:hAnsi="Times New Roman" w:cs="Times New Roman"/>
          <w:color w:val="auto"/>
          <w:lang w:val="cs-CZ" w:eastAsia="cs-CZ"/>
        </w:rPr>
        <w:t>Ambicí S</w:t>
      </w:r>
      <w:r>
        <w:rPr>
          <w:rFonts w:ascii="Times New Roman" w:hAnsi="Times New Roman" w:cs="Times New Roman"/>
          <w:color w:val="auto"/>
          <w:lang w:val="cs-CZ" w:eastAsia="cs-CZ"/>
        </w:rPr>
        <w:t>ČS je, aby výrobci d</w:t>
      </w:r>
      <w:r w:rsidRPr="00BB46B4">
        <w:rPr>
          <w:rFonts w:ascii="Times New Roman" w:hAnsi="Times New Roman" w:cs="Times New Roman"/>
          <w:color w:val="auto"/>
          <w:lang w:val="cs-CZ" w:eastAsia="cs-CZ"/>
        </w:rPr>
        <w:t xml:space="preserve">eklarování životnosti věnovali větší pozornost </w:t>
      </w:r>
      <w:r w:rsidR="002D7355">
        <w:rPr>
          <w:rFonts w:ascii="Times New Roman" w:hAnsi="Times New Roman" w:cs="Times New Roman"/>
          <w:color w:val="auto"/>
          <w:lang w:val="cs-CZ" w:eastAsia="cs-CZ"/>
        </w:rPr>
        <w:t xml:space="preserve">než </w:t>
      </w:r>
      <w:r>
        <w:rPr>
          <w:rFonts w:ascii="Times New Roman" w:hAnsi="Times New Roman" w:cs="Times New Roman"/>
          <w:color w:val="auto"/>
          <w:lang w:val="cs-CZ" w:eastAsia="cs-CZ"/>
        </w:rPr>
        <w:t>dosud. Je to zásad</w:t>
      </w:r>
      <w:r w:rsidRPr="00BB46B4">
        <w:rPr>
          <w:rFonts w:ascii="Times New Roman" w:hAnsi="Times New Roman" w:cs="Times New Roman"/>
          <w:color w:val="auto"/>
          <w:lang w:val="cs-CZ" w:eastAsia="cs-CZ"/>
        </w:rPr>
        <w:t>ní z</w:t>
      </w:r>
      <w:r>
        <w:rPr>
          <w:rFonts w:ascii="Times New Roman" w:hAnsi="Times New Roman" w:cs="Times New Roman"/>
          <w:color w:val="auto"/>
          <w:lang w:val="cs-CZ" w:eastAsia="cs-CZ"/>
        </w:rPr>
        <w:t xml:space="preserve"> důvodu </w:t>
      </w:r>
      <w:r w:rsidRPr="00BB46B4">
        <w:rPr>
          <w:rFonts w:ascii="Times New Roman" w:hAnsi="Times New Roman" w:cs="Times New Roman"/>
          <w:color w:val="auto"/>
          <w:lang w:val="cs-CZ" w:eastAsia="cs-CZ"/>
        </w:rPr>
        <w:t>ekonomických zájmů spo</w:t>
      </w:r>
      <w:r>
        <w:rPr>
          <w:rFonts w:ascii="Times New Roman" w:hAnsi="Times New Roman" w:cs="Times New Roman"/>
          <w:color w:val="auto"/>
          <w:lang w:val="cs-CZ" w:eastAsia="cs-CZ"/>
        </w:rPr>
        <w:t>třebitele i pro udržiteln</w:t>
      </w:r>
      <w:r w:rsidRPr="00BB46B4">
        <w:rPr>
          <w:rFonts w:ascii="Times New Roman" w:hAnsi="Times New Roman" w:cs="Times New Roman"/>
          <w:color w:val="auto"/>
          <w:lang w:val="cs-CZ" w:eastAsia="cs-CZ"/>
        </w:rPr>
        <w:t>ost prostředí.</w:t>
      </w:r>
    </w:p>
    <w:p w:rsidR="00EC45B9" w:rsidRPr="00BB46B4" w:rsidRDefault="00EC45B9" w:rsidP="00EC45B9">
      <w:pPr>
        <w:tabs>
          <w:tab w:val="num" w:pos="720"/>
          <w:tab w:val="num" w:pos="993"/>
        </w:tabs>
        <w:spacing w:after="120"/>
        <w:jc w:val="both"/>
        <w:rPr>
          <w:sz w:val="22"/>
          <w:szCs w:val="22"/>
        </w:rPr>
      </w:pPr>
      <w:r w:rsidRPr="00BB46B4">
        <w:rPr>
          <w:sz w:val="22"/>
          <w:szCs w:val="22"/>
        </w:rPr>
        <w:t xml:space="preserve">Kontakty, informace – Ing. Libor Dupal, </w:t>
      </w:r>
      <w:hyperlink r:id="rId8" w:history="1">
        <w:r w:rsidRPr="00BB46B4">
          <w:rPr>
            <w:rStyle w:val="Hypertextovodkaz"/>
            <w:sz w:val="22"/>
            <w:szCs w:val="22"/>
          </w:rPr>
          <w:t>dupal@regio.cz</w:t>
        </w:r>
      </w:hyperlink>
      <w:r w:rsidRPr="00BB46B4">
        <w:rPr>
          <w:sz w:val="22"/>
          <w:szCs w:val="22"/>
        </w:rPr>
        <w:t>; tel. 602561856</w:t>
      </w:r>
    </w:p>
    <w:p w:rsidR="009034AA" w:rsidRPr="00BB46B4" w:rsidRDefault="00E578EF" w:rsidP="00857C81">
      <w:pPr>
        <w:pStyle w:val="Normln0"/>
        <w:spacing w:after="120" w:line="240" w:lineRule="auto"/>
        <w:ind w:left="15" w:hanging="15"/>
        <w:jc w:val="both"/>
        <w:rPr>
          <w:color w:val="0000FF"/>
          <w:sz w:val="22"/>
          <w:szCs w:val="22"/>
          <w:u w:val="single"/>
        </w:rPr>
      </w:pPr>
      <w:r w:rsidRPr="00BB46B4">
        <w:rPr>
          <w:sz w:val="22"/>
          <w:szCs w:val="22"/>
        </w:rPr>
        <w:t xml:space="preserve">Souhrnné informace: </w:t>
      </w:r>
      <w:hyperlink r:id="rId9" w:history="1">
        <w:r w:rsidRPr="00BB46B4">
          <w:rPr>
            <w:rStyle w:val="Hypertextovodkaz"/>
            <w:sz w:val="22"/>
            <w:szCs w:val="22"/>
          </w:rPr>
          <w:t>www.zivotnost-plus.cz</w:t>
        </w:r>
      </w:hyperlink>
      <w:r w:rsidRPr="00BB46B4">
        <w:rPr>
          <w:sz w:val="22"/>
          <w:szCs w:val="22"/>
        </w:rPr>
        <w:t xml:space="preserve">. </w:t>
      </w:r>
      <w:r w:rsidR="009034AA" w:rsidRPr="00BB46B4">
        <w:rPr>
          <w:sz w:val="22"/>
          <w:szCs w:val="22"/>
        </w:rPr>
        <w:t xml:space="preserve">Seznam </w:t>
      </w:r>
      <w:r w:rsidRPr="00BB46B4">
        <w:rPr>
          <w:sz w:val="22"/>
          <w:szCs w:val="22"/>
        </w:rPr>
        <w:t>dosud přiznaných značek tamtéž.</w:t>
      </w:r>
    </w:p>
    <w:p w:rsidR="009034AA" w:rsidRPr="006721EF" w:rsidRDefault="009034AA" w:rsidP="00857C81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 w:rsidRPr="006721EF">
        <w:rPr>
          <w:sz w:val="18"/>
          <w:szCs w:val="18"/>
        </w:rPr>
        <w:t xml:space="preserve">Sdružení českých </w:t>
      </w:r>
      <w:proofErr w:type="gramStart"/>
      <w:r w:rsidRPr="006721EF">
        <w:rPr>
          <w:sz w:val="18"/>
          <w:szCs w:val="18"/>
        </w:rPr>
        <w:t xml:space="preserve">spotřebitelů, </w:t>
      </w:r>
      <w:proofErr w:type="spellStart"/>
      <w:r w:rsidRPr="006721EF">
        <w:rPr>
          <w:sz w:val="18"/>
          <w:szCs w:val="18"/>
        </w:rPr>
        <w:t>z.ú</w:t>
      </w:r>
      <w:proofErr w:type="spellEnd"/>
      <w:r w:rsidRPr="006721EF">
        <w:rPr>
          <w:sz w:val="18"/>
          <w:szCs w:val="18"/>
        </w:rPr>
        <w:t>.</w:t>
      </w:r>
      <w:proofErr w:type="gramEnd"/>
      <w:r w:rsidRPr="006721EF">
        <w:rPr>
          <w:sz w:val="18"/>
          <w:szCs w:val="18"/>
        </w:rPr>
        <w:t xml:space="preserve"> (SČS)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9034AA" w:rsidRPr="006721EF" w:rsidRDefault="009034AA" w:rsidP="00857C81">
      <w:pPr>
        <w:pStyle w:val="Normlnweb"/>
        <w:spacing w:before="0" w:beforeAutospacing="0" w:after="120" w:afterAutospacing="0"/>
        <w:jc w:val="both"/>
        <w:rPr>
          <w:sz w:val="18"/>
          <w:szCs w:val="18"/>
        </w:rPr>
      </w:pPr>
      <w:r w:rsidRPr="006721EF">
        <w:rPr>
          <w:sz w:val="18"/>
          <w:szCs w:val="18"/>
        </w:rPr>
        <w:t xml:space="preserve">Pod Altánem 99/103; 100 00  Praha 10 – Strašnice; +420 261263574, </w:t>
      </w:r>
      <w:hyperlink r:id="rId10" w:history="1">
        <w:r w:rsidRPr="006721EF">
          <w:rPr>
            <w:sz w:val="18"/>
            <w:szCs w:val="18"/>
          </w:rPr>
          <w:t>spotrebitel@regio.cz</w:t>
        </w:r>
      </w:hyperlink>
      <w:r w:rsidRPr="006721EF">
        <w:rPr>
          <w:sz w:val="18"/>
          <w:szCs w:val="18"/>
        </w:rPr>
        <w:t xml:space="preserve">; </w:t>
      </w:r>
      <w:hyperlink r:id="rId11" w:history="1">
        <w:r w:rsidRPr="006721EF">
          <w:rPr>
            <w:sz w:val="18"/>
            <w:szCs w:val="18"/>
          </w:rPr>
          <w:t>www.konzument.cz</w:t>
        </w:r>
      </w:hyperlink>
    </w:p>
    <w:p w:rsidR="009034AA" w:rsidRPr="006721EF" w:rsidRDefault="009034AA" w:rsidP="00857C81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 w:rsidRPr="006721EF">
        <w:rPr>
          <w:sz w:val="18"/>
          <w:szCs w:val="18"/>
        </w:rPr>
        <w:t>Kabinet pro standardizaci, o.p.s. (</w:t>
      </w:r>
      <w:proofErr w:type="spellStart"/>
      <w:r w:rsidRPr="006721EF">
        <w:rPr>
          <w:sz w:val="18"/>
          <w:szCs w:val="18"/>
        </w:rPr>
        <w:t>KaStan</w:t>
      </w:r>
      <w:proofErr w:type="spellEnd"/>
      <w:r w:rsidRPr="006721EF">
        <w:rPr>
          <w:sz w:val="18"/>
          <w:szCs w:val="18"/>
        </w:rPr>
        <w:t xml:space="preserve">) 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norem. </w:t>
      </w:r>
    </w:p>
    <w:p w:rsidR="009034AA" w:rsidRPr="006721EF" w:rsidRDefault="009034AA" w:rsidP="00857C81">
      <w:pPr>
        <w:pStyle w:val="Normlnweb"/>
        <w:spacing w:before="0" w:beforeAutospacing="0" w:after="120" w:afterAutospacing="0"/>
        <w:jc w:val="both"/>
        <w:rPr>
          <w:sz w:val="18"/>
          <w:szCs w:val="18"/>
        </w:rPr>
      </w:pPr>
      <w:r w:rsidRPr="006721EF">
        <w:rPr>
          <w:sz w:val="18"/>
          <w:szCs w:val="18"/>
        </w:rPr>
        <w:t xml:space="preserve">Pod Altánem 99/103; 100 00  Praha 10 – Strašnice; +420 261263574, normy@regio.cz; </w:t>
      </w:r>
      <w:hyperlink r:id="rId12" w:history="1">
        <w:r w:rsidRPr="002D7355">
          <w:rPr>
            <w:sz w:val="18"/>
            <w:szCs w:val="18"/>
          </w:rPr>
          <w:t>www.top-normy.cz</w:t>
        </w:r>
      </w:hyperlink>
      <w:r w:rsidRPr="006721EF">
        <w:rPr>
          <w:sz w:val="18"/>
          <w:szCs w:val="18"/>
        </w:rPr>
        <w:t xml:space="preserve"> </w:t>
      </w:r>
    </w:p>
    <w:p w:rsidR="009034AA" w:rsidRPr="002D7355" w:rsidRDefault="009034AA" w:rsidP="00857C81">
      <w:pPr>
        <w:jc w:val="both"/>
        <w:rPr>
          <w:sz w:val="18"/>
          <w:szCs w:val="18"/>
        </w:rPr>
      </w:pPr>
    </w:p>
    <w:p w:rsidR="00BB07A6" w:rsidRPr="002D7355" w:rsidRDefault="00BB07A6" w:rsidP="00857C81">
      <w:pPr>
        <w:jc w:val="both"/>
        <w:rPr>
          <w:sz w:val="18"/>
          <w:szCs w:val="18"/>
        </w:rPr>
      </w:pPr>
    </w:p>
    <w:p w:rsidR="00BB07A6" w:rsidRPr="002D7355" w:rsidRDefault="00BB07A6" w:rsidP="00BB07A6">
      <w:pPr>
        <w:rPr>
          <w:sz w:val="18"/>
          <w:szCs w:val="18"/>
        </w:rPr>
      </w:pPr>
    </w:p>
    <w:p w:rsidR="00BB07A6" w:rsidRPr="00BB07A6" w:rsidRDefault="00BB07A6" w:rsidP="00BB07A6">
      <w:pPr>
        <w:rPr>
          <w:sz w:val="22"/>
          <w:szCs w:val="22"/>
        </w:rPr>
      </w:pPr>
    </w:p>
    <w:p w:rsidR="005B0C38" w:rsidRDefault="005B0C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62AAE" w:rsidRDefault="00C62AAE" w:rsidP="00BB07A6">
      <w:pPr>
        <w:tabs>
          <w:tab w:val="left" w:pos="2670"/>
        </w:tabs>
        <w:rPr>
          <w:sz w:val="22"/>
          <w:szCs w:val="22"/>
        </w:rPr>
      </w:pPr>
    </w:p>
    <w:p w:rsidR="005B0C38" w:rsidRPr="002D7355" w:rsidRDefault="005B0C38" w:rsidP="00BB07A6">
      <w:pPr>
        <w:tabs>
          <w:tab w:val="left" w:pos="2670"/>
        </w:tabs>
        <w:rPr>
          <w:b/>
        </w:rPr>
      </w:pPr>
      <w:r w:rsidRPr="002D7355">
        <w:rPr>
          <w:b/>
        </w:rPr>
        <w:t>Příloha</w:t>
      </w:r>
    </w:p>
    <w:p w:rsidR="005B0C38" w:rsidRDefault="005B0C38" w:rsidP="00BB07A6">
      <w:pPr>
        <w:tabs>
          <w:tab w:val="left" w:pos="2670"/>
        </w:tabs>
        <w:rPr>
          <w:sz w:val="22"/>
          <w:szCs w:val="22"/>
        </w:rPr>
      </w:pPr>
    </w:p>
    <w:p w:rsidR="005B0C38" w:rsidRDefault="005B0C38" w:rsidP="005B0C38">
      <w:pPr>
        <w:spacing w:after="120"/>
        <w:jc w:val="both"/>
      </w:pPr>
      <w:r w:rsidRPr="005B0C38">
        <w:rPr>
          <w:b/>
        </w:rPr>
        <w:t>První výrobky a služby, výrobci či poskytovatelé služeb</w:t>
      </w:r>
      <w:r>
        <w:t>, kterým Sdružení českých spotřebitelů prostřednictvím nezávislé hodnotitelské komise přiznalo značku kvality ŽIVOTNOST PLUS:</w:t>
      </w:r>
    </w:p>
    <w:p w:rsidR="005B0C38" w:rsidRDefault="005B0C38" w:rsidP="005B0C38">
      <w:pPr>
        <w:spacing w:after="120"/>
        <w:jc w:val="both"/>
      </w:pPr>
      <w:r w:rsidRPr="00DA0AC3">
        <w:rPr>
          <w:b/>
        </w:rPr>
        <w:t>Fy JECH CZ s.r.o</w:t>
      </w:r>
      <w:r w:rsidRPr="00B80C90">
        <w:t>.</w:t>
      </w:r>
      <w:r>
        <w:t>, z </w:t>
      </w:r>
      <w:r w:rsidRPr="00B80C90">
        <w:t>Dobrušk</w:t>
      </w:r>
      <w:r>
        <w:t xml:space="preserve">y je rodinným podnikem, který po řadu let vyrábí </w:t>
      </w:r>
      <w:r w:rsidRPr="00DA0AC3">
        <w:rPr>
          <w:b/>
        </w:rPr>
        <w:t xml:space="preserve">sedací a vybraný kusový nábytek, </w:t>
      </w:r>
      <w:r w:rsidR="00D82D8F">
        <w:rPr>
          <w:b/>
        </w:rPr>
        <w:t>i</w:t>
      </w:r>
      <w:r w:rsidRPr="00DA0AC3">
        <w:rPr>
          <w:b/>
        </w:rPr>
        <w:t xml:space="preserve"> na zakázku</w:t>
      </w:r>
      <w:r w:rsidRPr="00DA0AC3">
        <w:t>.</w:t>
      </w:r>
      <w:r>
        <w:t xml:space="preserve"> Značka byla přiznána fy Jech </w:t>
      </w:r>
      <w:r w:rsidR="0086015A">
        <w:t xml:space="preserve">na veškerou produkci, </w:t>
      </w:r>
      <w:r>
        <w:t>jako p</w:t>
      </w:r>
      <w:r w:rsidRPr="00DA0AC3">
        <w:t>oskytovatel</w:t>
      </w:r>
      <w:r>
        <w:t>i</w:t>
      </w:r>
      <w:r w:rsidRPr="00DA0AC3">
        <w:t xml:space="preserve"> služby</w:t>
      </w:r>
      <w:r>
        <w:t xml:space="preserve">, který </w:t>
      </w:r>
      <w:r w:rsidRPr="00DA0AC3">
        <w:t>garantuje za transparentních</w:t>
      </w:r>
      <w:r>
        <w:t xml:space="preserve"> podmínek</w:t>
      </w:r>
      <w:r w:rsidR="00DA79E1">
        <w:t xml:space="preserve"> </w:t>
      </w:r>
      <w:r w:rsidRPr="00DA0AC3">
        <w:t>5-letou záruku za vady. Po uplynutí záruky mů</w:t>
      </w:r>
      <w:r>
        <w:t xml:space="preserve">že spotřebitel kdykoliv využít </w:t>
      </w:r>
      <w:r w:rsidRPr="00DA0AC3">
        <w:t>návazný servis, který se postará o to, aby sedací souprava zůstala stále jako nová.</w:t>
      </w:r>
      <w:r>
        <w:t xml:space="preserve"> </w:t>
      </w:r>
    </w:p>
    <w:p w:rsidR="005B0C38" w:rsidRDefault="005B0C38" w:rsidP="005B0C38">
      <w:pPr>
        <w:spacing w:after="120"/>
        <w:jc w:val="both"/>
      </w:pPr>
      <w:r w:rsidRPr="007961A8">
        <w:rPr>
          <w:b/>
        </w:rPr>
        <w:t xml:space="preserve">Zubní klinika Podstata </w:t>
      </w:r>
      <w:r w:rsidR="00DA79E1">
        <w:rPr>
          <w:b/>
        </w:rPr>
        <w:t>–</w:t>
      </w:r>
      <w:r w:rsidR="00DA79E1" w:rsidRPr="007961A8">
        <w:rPr>
          <w:b/>
        </w:rPr>
        <w:t xml:space="preserve"> </w:t>
      </w:r>
      <w:proofErr w:type="spellStart"/>
      <w:r w:rsidRPr="007961A8">
        <w:rPr>
          <w:b/>
        </w:rPr>
        <w:t>Hudler</w:t>
      </w:r>
      <w:proofErr w:type="spellEnd"/>
      <w:r w:rsidRPr="007961A8">
        <w:rPr>
          <w:b/>
        </w:rPr>
        <w:t>, spol. s.r.o.</w:t>
      </w:r>
      <w:r w:rsidRPr="007961A8">
        <w:t xml:space="preserve"> </w:t>
      </w:r>
      <w:r>
        <w:t xml:space="preserve">v Praze na </w:t>
      </w:r>
      <w:proofErr w:type="spellStart"/>
      <w:r>
        <w:t>Měchurce</w:t>
      </w:r>
      <w:proofErr w:type="spellEnd"/>
      <w:r>
        <w:t xml:space="preserve"> </w:t>
      </w:r>
      <w:r w:rsidRPr="007961A8">
        <w:t xml:space="preserve">garantuje na vybrané výrobky – </w:t>
      </w:r>
      <w:r w:rsidRPr="007961A8">
        <w:rPr>
          <w:b/>
        </w:rPr>
        <w:t xml:space="preserve">zubní implantáty </w:t>
      </w:r>
      <w:proofErr w:type="spellStart"/>
      <w:r w:rsidRPr="007961A8">
        <w:rPr>
          <w:b/>
        </w:rPr>
        <w:t>BioniQ</w:t>
      </w:r>
      <w:proofErr w:type="spellEnd"/>
      <w:r w:rsidRPr="007961A8">
        <w:rPr>
          <w:b/>
        </w:rPr>
        <w:t xml:space="preserve">, Astra a </w:t>
      </w:r>
      <w:proofErr w:type="spellStart"/>
      <w:r w:rsidRPr="007961A8">
        <w:rPr>
          <w:b/>
        </w:rPr>
        <w:t>Ankylos</w:t>
      </w:r>
      <w:proofErr w:type="spellEnd"/>
      <w:r>
        <w:rPr>
          <w:b/>
        </w:rPr>
        <w:t xml:space="preserve"> </w:t>
      </w:r>
      <w:r w:rsidRPr="00EF2EE5">
        <w:t xml:space="preserve">za </w:t>
      </w:r>
      <w:r w:rsidRPr="007961A8">
        <w:t xml:space="preserve">transparentních podmínek 10-letou záruku. Kvalita </w:t>
      </w:r>
      <w:r>
        <w:t xml:space="preserve">a přístup poskytovatele služby </w:t>
      </w:r>
      <w:r w:rsidRPr="007961A8">
        <w:t>je vynikající</w:t>
      </w:r>
      <w:r>
        <w:t>. Značka se přiznává zubní klinice na službu implantací uvedených dodavatelů.</w:t>
      </w:r>
    </w:p>
    <w:p w:rsidR="005B0C38" w:rsidRDefault="005B0C38" w:rsidP="005B0C38">
      <w:pPr>
        <w:spacing w:after="120"/>
        <w:jc w:val="both"/>
      </w:pPr>
      <w:r>
        <w:t xml:space="preserve">Nový energetický subjekt na trhu </w:t>
      </w:r>
      <w:r w:rsidR="00DA79E1">
        <w:t>–</w:t>
      </w:r>
      <w:r>
        <w:t xml:space="preserve"> </w:t>
      </w:r>
      <w:proofErr w:type="spellStart"/>
      <w:r w:rsidRPr="007961A8">
        <w:rPr>
          <w:b/>
        </w:rPr>
        <w:t>Innogy</w:t>
      </w:r>
      <w:proofErr w:type="spellEnd"/>
      <w:r w:rsidRPr="007961A8">
        <w:rPr>
          <w:b/>
        </w:rPr>
        <w:t xml:space="preserve"> Česká republika a.s</w:t>
      </w:r>
      <w:r w:rsidRPr="007961A8">
        <w:t xml:space="preserve">., přišel na český trh se zajímavým </w:t>
      </w:r>
      <w:r>
        <w:t xml:space="preserve">marketingovým nástrojem, který ovšem oslovil správce značky Životnost Plus. </w:t>
      </w:r>
      <w:proofErr w:type="spellStart"/>
      <w:r>
        <w:t>Innogy</w:t>
      </w:r>
      <w:proofErr w:type="spellEnd"/>
      <w:r>
        <w:t xml:space="preserve"> </w:t>
      </w:r>
      <w:r w:rsidRPr="007961A8">
        <w:rPr>
          <w:b/>
        </w:rPr>
        <w:t>pronajímá spotřebitelům úsporné LED žárovky s garancí životnosti až 18 let</w:t>
      </w:r>
      <w:r w:rsidRPr="007961A8">
        <w:t xml:space="preserve"> běžného svícení</w:t>
      </w:r>
      <w:r>
        <w:t xml:space="preserve">. Značka se tedy přiznává </w:t>
      </w:r>
      <w:proofErr w:type="spellStart"/>
      <w:r>
        <w:t>Innogy</w:t>
      </w:r>
      <w:proofErr w:type="spellEnd"/>
      <w:r>
        <w:t xml:space="preserve"> na tuto službu.</w:t>
      </w:r>
    </w:p>
    <w:p w:rsidR="005B0C38" w:rsidRDefault="005B0C38" w:rsidP="005B0C38">
      <w:pPr>
        <w:spacing w:after="120"/>
        <w:jc w:val="both"/>
      </w:pPr>
      <w:r>
        <w:t xml:space="preserve">Podobně jako v případě fy JECH, i další značka je přiznána výrobci </w:t>
      </w:r>
      <w:r w:rsidR="0086015A">
        <w:t xml:space="preserve">na </w:t>
      </w:r>
      <w:r>
        <w:t xml:space="preserve">celou jeho produkci. Jedná se o </w:t>
      </w:r>
      <w:r w:rsidRPr="00006809">
        <w:rPr>
          <w:b/>
        </w:rPr>
        <w:t xml:space="preserve">fy </w:t>
      </w:r>
      <w:proofErr w:type="spellStart"/>
      <w:r w:rsidRPr="00006809">
        <w:rPr>
          <w:b/>
        </w:rPr>
        <w:t>Mikov</w:t>
      </w:r>
      <w:proofErr w:type="spellEnd"/>
      <w:r>
        <w:t xml:space="preserve"> z </w:t>
      </w:r>
      <w:r w:rsidRPr="00CE7D37">
        <w:t>Hluboč</w:t>
      </w:r>
      <w:r>
        <w:t>ek</w:t>
      </w:r>
      <w:r w:rsidRPr="00CE7D37">
        <w:t>, Mariánské</w:t>
      </w:r>
      <w:r>
        <w:t>ho</w:t>
      </w:r>
      <w:r w:rsidRPr="00CE7D37">
        <w:t xml:space="preserve"> Údolí</w:t>
      </w:r>
      <w:r>
        <w:t xml:space="preserve">, a sice za </w:t>
      </w:r>
      <w:r w:rsidRPr="00006809">
        <w:rPr>
          <w:b/>
        </w:rPr>
        <w:t>produkci nožířských výrobků</w:t>
      </w:r>
      <w:r>
        <w:t>. Ano, jedná se mimo jiné o známý nožířský nástroj – nožík rybička. Na všechny výrobky rodinná firma poskytuje za transparentně daných podmínek 7</w:t>
      </w:r>
      <w:r w:rsidR="00DA79E1">
        <w:t>-</w:t>
      </w:r>
      <w:r>
        <w:t>letou záruku.</w:t>
      </w:r>
    </w:p>
    <w:p w:rsidR="005B0C38" w:rsidRDefault="005B0C38" w:rsidP="005B0C38">
      <w:pPr>
        <w:spacing w:after="120"/>
        <w:jc w:val="both"/>
      </w:pPr>
      <w:proofErr w:type="spellStart"/>
      <w:r>
        <w:rPr>
          <w:rStyle w:val="Siln"/>
        </w:rPr>
        <w:t>Meopta</w:t>
      </w:r>
      <w:proofErr w:type="spellEnd"/>
      <w:r>
        <w:rPr>
          <w:rStyle w:val="Siln"/>
        </w:rPr>
        <w:t xml:space="preserve">-optika, s.r.o. </w:t>
      </w:r>
      <w:r w:rsidRPr="00006809">
        <w:rPr>
          <w:rStyle w:val="Siln"/>
        </w:rPr>
        <w:t>z</w:t>
      </w:r>
      <w:r>
        <w:rPr>
          <w:rStyle w:val="Siln"/>
        </w:rPr>
        <w:t> </w:t>
      </w:r>
      <w:r w:rsidRPr="00006809">
        <w:rPr>
          <w:rStyle w:val="Siln"/>
        </w:rPr>
        <w:t>Přerova</w:t>
      </w:r>
      <w:r>
        <w:rPr>
          <w:rStyle w:val="Siln"/>
        </w:rPr>
        <w:t xml:space="preserve"> garantuje záruku za vady na </w:t>
      </w:r>
      <w:r w:rsidRPr="00006809">
        <w:rPr>
          <w:b/>
        </w:rPr>
        <w:t>sportovní optiku</w:t>
      </w:r>
      <w:r>
        <w:t xml:space="preserve"> </w:t>
      </w:r>
      <w:r w:rsidR="00DA79E1">
        <w:t>–</w:t>
      </w:r>
      <w:r>
        <w:t xml:space="preserve"> 10 let, a za podmínky registrace prodlouženou záruku 30 let. Příkladný přístup! Značka je přiznána uvedené skupině výrobků této firmy.</w:t>
      </w:r>
    </w:p>
    <w:p w:rsidR="005B0C38" w:rsidRDefault="005B0C38" w:rsidP="005B0C38">
      <w:pPr>
        <w:spacing w:after="120"/>
        <w:jc w:val="both"/>
      </w:pPr>
      <w:r>
        <w:t>I zdánlivé maličkosti se počítají! S </w:t>
      </w:r>
      <w:r w:rsidRPr="00603A1F">
        <w:rPr>
          <w:b/>
        </w:rPr>
        <w:t>šetřič</w:t>
      </w:r>
      <w:r>
        <w:rPr>
          <w:b/>
        </w:rPr>
        <w:t>i</w:t>
      </w:r>
      <w:r w:rsidRPr="00603A1F">
        <w:rPr>
          <w:b/>
        </w:rPr>
        <w:t xml:space="preserve"> vody</w:t>
      </w:r>
      <w:r>
        <w:t xml:space="preserve"> od firmy </w:t>
      </w:r>
      <w:proofErr w:type="spellStart"/>
      <w:r w:rsidRPr="00603A1F">
        <w:rPr>
          <w:b/>
        </w:rPr>
        <w:t>Watersavers</w:t>
      </w:r>
      <w:proofErr w:type="spellEnd"/>
      <w:r w:rsidRPr="00603A1F">
        <w:rPr>
          <w:b/>
        </w:rPr>
        <w:t>, s.r.o.</w:t>
      </w:r>
      <w:r>
        <w:t xml:space="preserve"> z Brna máte úsporu garantovanou na 5 let. A deklarovaná živostnost 20 let jednotlivých šetřičů vody na vodovodní baterie, sprchy a toalety vysoce převyšuje i běžně dovážené a na trhu dostupné výrobky. Značka je přiznána skupině výrobků </w:t>
      </w:r>
      <w:r w:rsidRPr="00603A1F">
        <w:rPr>
          <w:b/>
        </w:rPr>
        <w:t>šetřičem vody</w:t>
      </w:r>
      <w:r>
        <w:t xml:space="preserve"> uvedeného výrobce, přičemž zohledněn je přístup ke spotřebiteli všeobecně.</w:t>
      </w:r>
    </w:p>
    <w:p w:rsidR="005B0C38" w:rsidRPr="001261C1" w:rsidRDefault="005B0C38" w:rsidP="005B0C38">
      <w:pPr>
        <w:spacing w:after="120"/>
        <w:jc w:val="both"/>
      </w:pPr>
      <w:r w:rsidRPr="001261C1">
        <w:t xml:space="preserve">Holandská značka </w:t>
      </w:r>
      <w:proofErr w:type="spellStart"/>
      <w:r w:rsidRPr="00EB4FB9">
        <w:rPr>
          <w:b/>
        </w:rPr>
        <w:t>Brabantia</w:t>
      </w:r>
      <w:proofErr w:type="spellEnd"/>
      <w:r w:rsidRPr="001261C1">
        <w:t xml:space="preserve"> </w:t>
      </w:r>
      <w:r>
        <w:t xml:space="preserve">je </w:t>
      </w:r>
      <w:r w:rsidRPr="001261C1">
        <w:t>výrobce</w:t>
      </w:r>
      <w:r>
        <w:t>m</w:t>
      </w:r>
      <w:r w:rsidRPr="001261C1">
        <w:t xml:space="preserve"> </w:t>
      </w:r>
      <w:r>
        <w:rPr>
          <w:b/>
        </w:rPr>
        <w:t>žehli</w:t>
      </w:r>
      <w:r w:rsidRPr="00EB4FB9">
        <w:rPr>
          <w:b/>
        </w:rPr>
        <w:t>cích prken</w:t>
      </w:r>
      <w:r w:rsidRPr="001261C1">
        <w:t xml:space="preserve">. Na </w:t>
      </w:r>
      <w:r>
        <w:t>výrobek</w:t>
      </w:r>
      <w:r w:rsidRPr="001261C1">
        <w:t xml:space="preserve"> poskytují prodlouženou </w:t>
      </w:r>
      <w:r>
        <w:t>10-letou</w:t>
      </w:r>
      <w:r w:rsidRPr="001261C1">
        <w:t xml:space="preserve"> záruku a </w:t>
      </w:r>
      <w:r>
        <w:t>firma si zakládá</w:t>
      </w:r>
      <w:r w:rsidRPr="001261C1">
        <w:t xml:space="preserve"> si na 100% kvalitě domácí výroby.</w:t>
      </w:r>
      <w:r>
        <w:t xml:space="preserve"> Značka je proto přiznána výhradně tomuto výrobku uvedené firmy.</w:t>
      </w:r>
      <w:bookmarkStart w:id="1" w:name="_GoBack"/>
      <w:bookmarkEnd w:id="1"/>
    </w:p>
    <w:p w:rsidR="005B0C38" w:rsidRPr="00BB07A6" w:rsidRDefault="005B0C38" w:rsidP="00BB07A6">
      <w:pPr>
        <w:tabs>
          <w:tab w:val="left" w:pos="2670"/>
        </w:tabs>
        <w:rPr>
          <w:sz w:val="22"/>
          <w:szCs w:val="22"/>
        </w:rPr>
      </w:pPr>
    </w:p>
    <w:sectPr w:rsidR="005B0C38" w:rsidRPr="00BB07A6" w:rsidSect="00CA4A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07" w:rsidRDefault="00CB3207">
      <w:r>
        <w:separator/>
      </w:r>
    </w:p>
  </w:endnote>
  <w:endnote w:type="continuationSeparator" w:id="0">
    <w:p w:rsidR="00CB3207" w:rsidRDefault="00C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2D8F">
      <w:rPr>
        <w:rStyle w:val="slostrnky"/>
        <w:noProof/>
      </w:rPr>
      <w:t>3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CB3207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07" w:rsidRDefault="00CB3207">
      <w:r>
        <w:separator/>
      </w:r>
    </w:p>
  </w:footnote>
  <w:footnote w:type="continuationSeparator" w:id="0">
    <w:p w:rsidR="00CB3207" w:rsidRDefault="00CB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.75pt;height:28.5pt" o:bullet="t">
        <v:imagedata r:id="rId1" o:title="artB0C2"/>
      </v:shape>
    </w:pict>
  </w:numPicBullet>
  <w:abstractNum w:abstractNumId="0" w15:restartNumberingAfterBreak="0">
    <w:nsid w:val="06ED5CBB"/>
    <w:multiLevelType w:val="hybridMultilevel"/>
    <w:tmpl w:val="94701822"/>
    <w:lvl w:ilvl="0" w:tplc="48D8D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A9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0B1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25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D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4AD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01F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01A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6C0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A4C"/>
    <w:multiLevelType w:val="hybridMultilevel"/>
    <w:tmpl w:val="7C5657EC"/>
    <w:lvl w:ilvl="0" w:tplc="81842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C46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4E11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43A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A9D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691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05C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6E9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01F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5F1B"/>
    <w:multiLevelType w:val="hybridMultilevel"/>
    <w:tmpl w:val="93441A24"/>
    <w:lvl w:ilvl="0" w:tplc="4B68486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D26CE"/>
    <w:multiLevelType w:val="hybridMultilevel"/>
    <w:tmpl w:val="F3A80C22"/>
    <w:lvl w:ilvl="0" w:tplc="F208C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AE8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8BB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E73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8BA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CEF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01B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2A4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495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41944"/>
    <w:multiLevelType w:val="hybridMultilevel"/>
    <w:tmpl w:val="03B45DEE"/>
    <w:lvl w:ilvl="0" w:tplc="E15AB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4F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A2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445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AC5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A62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A08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E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AB8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C115F"/>
    <w:multiLevelType w:val="hybridMultilevel"/>
    <w:tmpl w:val="1E560B02"/>
    <w:lvl w:ilvl="0" w:tplc="C6BA4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EA1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418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D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6E3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8A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8FA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49C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8CF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4E3628"/>
    <w:multiLevelType w:val="hybridMultilevel"/>
    <w:tmpl w:val="4BEABE50"/>
    <w:lvl w:ilvl="0" w:tplc="B7DE50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6"/>
  </w:num>
  <w:num w:numId="5">
    <w:abstractNumId w:val="24"/>
  </w:num>
  <w:num w:numId="6">
    <w:abstractNumId w:val="20"/>
  </w:num>
  <w:num w:numId="7">
    <w:abstractNumId w:val="10"/>
  </w:num>
  <w:num w:numId="8">
    <w:abstractNumId w:val="34"/>
  </w:num>
  <w:num w:numId="9">
    <w:abstractNumId w:val="31"/>
  </w:num>
  <w:num w:numId="10">
    <w:abstractNumId w:val="7"/>
  </w:num>
  <w:num w:numId="11">
    <w:abstractNumId w:val="23"/>
  </w:num>
  <w:num w:numId="12">
    <w:abstractNumId w:val="19"/>
  </w:num>
  <w:num w:numId="13">
    <w:abstractNumId w:val="27"/>
  </w:num>
  <w:num w:numId="14">
    <w:abstractNumId w:val="8"/>
  </w:num>
  <w:num w:numId="15">
    <w:abstractNumId w:val="17"/>
  </w:num>
  <w:num w:numId="16">
    <w:abstractNumId w:val="13"/>
  </w:num>
  <w:num w:numId="17">
    <w:abstractNumId w:val="3"/>
  </w:num>
  <w:num w:numId="18">
    <w:abstractNumId w:val="30"/>
  </w:num>
  <w:num w:numId="19">
    <w:abstractNumId w:val="25"/>
  </w:num>
  <w:num w:numId="20">
    <w:abstractNumId w:val="12"/>
  </w:num>
  <w:num w:numId="21">
    <w:abstractNumId w:val="14"/>
  </w:num>
  <w:num w:numId="22">
    <w:abstractNumId w:val="26"/>
  </w:num>
  <w:num w:numId="23">
    <w:abstractNumId w:val="22"/>
  </w:num>
  <w:num w:numId="24">
    <w:abstractNumId w:val="33"/>
  </w:num>
  <w:num w:numId="25">
    <w:abstractNumId w:val="5"/>
  </w:num>
  <w:num w:numId="26">
    <w:abstractNumId w:val="9"/>
  </w:num>
  <w:num w:numId="27">
    <w:abstractNumId w:val="29"/>
  </w:num>
  <w:num w:numId="28">
    <w:abstractNumId w:val="18"/>
  </w:num>
  <w:num w:numId="29">
    <w:abstractNumId w:val="15"/>
  </w:num>
  <w:num w:numId="30">
    <w:abstractNumId w:val="11"/>
  </w:num>
  <w:num w:numId="31">
    <w:abstractNumId w:val="2"/>
  </w:num>
  <w:num w:numId="32">
    <w:abstractNumId w:val="28"/>
  </w:num>
  <w:num w:numId="33">
    <w:abstractNumId w:val="0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00BBB"/>
    <w:rsid w:val="000212DE"/>
    <w:rsid w:val="000A1CBC"/>
    <w:rsid w:val="000C24F1"/>
    <w:rsid w:val="000E330A"/>
    <w:rsid w:val="00116459"/>
    <w:rsid w:val="001166A4"/>
    <w:rsid w:val="00141082"/>
    <w:rsid w:val="001926B7"/>
    <w:rsid w:val="001B0E0F"/>
    <w:rsid w:val="001D1BC9"/>
    <w:rsid w:val="00250C93"/>
    <w:rsid w:val="00277C59"/>
    <w:rsid w:val="00280435"/>
    <w:rsid w:val="002C3C7F"/>
    <w:rsid w:val="002D094E"/>
    <w:rsid w:val="002D7355"/>
    <w:rsid w:val="00326DCA"/>
    <w:rsid w:val="0033327E"/>
    <w:rsid w:val="00333B8E"/>
    <w:rsid w:val="00343356"/>
    <w:rsid w:val="003477EC"/>
    <w:rsid w:val="00363535"/>
    <w:rsid w:val="003951F0"/>
    <w:rsid w:val="003A7D01"/>
    <w:rsid w:val="00415005"/>
    <w:rsid w:val="004179B6"/>
    <w:rsid w:val="004425D7"/>
    <w:rsid w:val="00491EFD"/>
    <w:rsid w:val="00497718"/>
    <w:rsid w:val="004C14B3"/>
    <w:rsid w:val="004C7619"/>
    <w:rsid w:val="00503D33"/>
    <w:rsid w:val="00523C62"/>
    <w:rsid w:val="005332C0"/>
    <w:rsid w:val="00544A87"/>
    <w:rsid w:val="00596128"/>
    <w:rsid w:val="005979AF"/>
    <w:rsid w:val="005B0C38"/>
    <w:rsid w:val="005B2F69"/>
    <w:rsid w:val="005E1670"/>
    <w:rsid w:val="005F40F3"/>
    <w:rsid w:val="0060473E"/>
    <w:rsid w:val="00662932"/>
    <w:rsid w:val="00664BF3"/>
    <w:rsid w:val="006721EF"/>
    <w:rsid w:val="00687028"/>
    <w:rsid w:val="006F1880"/>
    <w:rsid w:val="00790045"/>
    <w:rsid w:val="007963F5"/>
    <w:rsid w:val="007B032E"/>
    <w:rsid w:val="007E29FE"/>
    <w:rsid w:val="00815610"/>
    <w:rsid w:val="00857C81"/>
    <w:rsid w:val="0086015A"/>
    <w:rsid w:val="00876265"/>
    <w:rsid w:val="0089064E"/>
    <w:rsid w:val="008A3042"/>
    <w:rsid w:val="008D2312"/>
    <w:rsid w:val="009034AA"/>
    <w:rsid w:val="00911BC3"/>
    <w:rsid w:val="009360CB"/>
    <w:rsid w:val="00937109"/>
    <w:rsid w:val="009672EC"/>
    <w:rsid w:val="00997132"/>
    <w:rsid w:val="009B3585"/>
    <w:rsid w:val="009C2F19"/>
    <w:rsid w:val="009D73EA"/>
    <w:rsid w:val="00A102A2"/>
    <w:rsid w:val="00A12D9F"/>
    <w:rsid w:val="00A50D21"/>
    <w:rsid w:val="00A56614"/>
    <w:rsid w:val="00A614FF"/>
    <w:rsid w:val="00AD501D"/>
    <w:rsid w:val="00AE6C43"/>
    <w:rsid w:val="00AF1F2A"/>
    <w:rsid w:val="00AF2662"/>
    <w:rsid w:val="00AF6E7B"/>
    <w:rsid w:val="00B2184E"/>
    <w:rsid w:val="00B311CE"/>
    <w:rsid w:val="00B55B0B"/>
    <w:rsid w:val="00B758AF"/>
    <w:rsid w:val="00BB07A6"/>
    <w:rsid w:val="00BB46B4"/>
    <w:rsid w:val="00BE61FF"/>
    <w:rsid w:val="00C02D2C"/>
    <w:rsid w:val="00C1067B"/>
    <w:rsid w:val="00C22D18"/>
    <w:rsid w:val="00C62AAE"/>
    <w:rsid w:val="00C74594"/>
    <w:rsid w:val="00C779CB"/>
    <w:rsid w:val="00CA4A78"/>
    <w:rsid w:val="00CB3207"/>
    <w:rsid w:val="00CE2DF2"/>
    <w:rsid w:val="00CE30FE"/>
    <w:rsid w:val="00CF463C"/>
    <w:rsid w:val="00D2042B"/>
    <w:rsid w:val="00D211DE"/>
    <w:rsid w:val="00D27474"/>
    <w:rsid w:val="00D82D8F"/>
    <w:rsid w:val="00D963D1"/>
    <w:rsid w:val="00DA79E1"/>
    <w:rsid w:val="00DE34F8"/>
    <w:rsid w:val="00E05348"/>
    <w:rsid w:val="00E1272F"/>
    <w:rsid w:val="00E2152F"/>
    <w:rsid w:val="00E41C48"/>
    <w:rsid w:val="00E47C33"/>
    <w:rsid w:val="00E578EF"/>
    <w:rsid w:val="00E6069E"/>
    <w:rsid w:val="00EC45B9"/>
    <w:rsid w:val="00F060CE"/>
    <w:rsid w:val="00F4375C"/>
    <w:rsid w:val="00F603D7"/>
    <w:rsid w:val="00F85065"/>
    <w:rsid w:val="00F86228"/>
    <w:rsid w:val="00FB58D2"/>
    <w:rsid w:val="00FC0FBE"/>
    <w:rsid w:val="00FC5974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22967"/>
  <w15:docId w15:val="{14A637C3-BEA6-4F68-BC72-AF4DDF7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9034AA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90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9034AA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E2DF2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E578EF"/>
    <w:rPr>
      <w:rFonts w:cs="Times New Roman"/>
      <w:b/>
    </w:rPr>
  </w:style>
  <w:style w:type="paragraph" w:customStyle="1" w:styleId="Default">
    <w:name w:val="Default"/>
    <w:uiPriority w:val="99"/>
    <w:rsid w:val="00E578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99094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089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671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12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32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top-normy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zument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upal@regi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votnost-plus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7994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Uživatel systému Windows</cp:lastModifiedBy>
  <cp:revision>3</cp:revision>
  <cp:lastPrinted>2016-11-04T06:53:00Z</cp:lastPrinted>
  <dcterms:created xsi:type="dcterms:W3CDTF">2016-12-12T11:33:00Z</dcterms:created>
  <dcterms:modified xsi:type="dcterms:W3CDTF">2016-12-13T09:58:00Z</dcterms:modified>
</cp:coreProperties>
</file>